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5D671" w14:textId="77777777" w:rsidR="004C33FE" w:rsidRPr="00B26A71" w:rsidRDefault="004C33FE" w:rsidP="004C33FE">
      <w:pPr>
        <w:jc w:val="center"/>
        <w:rPr>
          <w:rFonts w:asciiTheme="majorHAnsi" w:hAnsiTheme="majorHAnsi" w:cstheme="majorHAnsi"/>
          <w:b/>
          <w:lang w:val="en"/>
        </w:rPr>
      </w:pPr>
      <w:r w:rsidRPr="00B26A71">
        <w:rPr>
          <w:rFonts w:asciiTheme="majorHAnsi" w:hAnsiTheme="majorHAnsi" w:cstheme="majorHAnsi"/>
          <w:b/>
          <w:lang w:val="en"/>
        </w:rPr>
        <w:t xml:space="preserve">Classification sheet – </w:t>
      </w:r>
      <w:r w:rsidRPr="00B26A71">
        <w:rPr>
          <w:rFonts w:asciiTheme="majorHAnsi" w:hAnsiTheme="majorHAnsi" w:cstheme="majorHAnsi"/>
          <w:b/>
          <w:u w:val="single"/>
          <w:lang w:val="en"/>
        </w:rPr>
        <w:t>a new update is in progress</w:t>
      </w:r>
    </w:p>
    <w:p w14:paraId="00A04F4C" w14:textId="77777777" w:rsidR="004C33FE" w:rsidRPr="00B26A71" w:rsidRDefault="004C33FE" w:rsidP="004C33FE">
      <w:pPr>
        <w:rPr>
          <w:rFonts w:asciiTheme="majorHAnsi" w:hAnsiTheme="majorHAnsi" w:cstheme="majorHAnsi"/>
          <w:b/>
          <w:lang w:val="en"/>
        </w:rPr>
      </w:pPr>
    </w:p>
    <w:p w14:paraId="210ECA77" w14:textId="77777777" w:rsidR="004C33FE" w:rsidRPr="00B26A71" w:rsidRDefault="004C33FE" w:rsidP="004C33FE">
      <w:pPr>
        <w:rPr>
          <w:rFonts w:asciiTheme="majorHAnsi" w:hAnsiTheme="majorHAnsi" w:cstheme="majorHAnsi"/>
          <w:b/>
          <w:lang w:val="en"/>
        </w:rPr>
      </w:pPr>
    </w:p>
    <w:p w14:paraId="4F79F604" w14:textId="77777777" w:rsidR="004C33FE" w:rsidRPr="00B26A71" w:rsidRDefault="004C33FE" w:rsidP="004C33FE">
      <w:pPr>
        <w:rPr>
          <w:rFonts w:asciiTheme="majorHAnsi" w:hAnsiTheme="majorHAnsi" w:cstheme="majorHAnsi"/>
          <w:lang w:val="en"/>
        </w:rPr>
      </w:pPr>
      <w:r w:rsidRPr="00B26A71">
        <w:rPr>
          <w:rFonts w:asciiTheme="majorHAnsi" w:hAnsiTheme="majorHAnsi" w:cstheme="majorHAnsi"/>
          <w:lang w:val="en"/>
        </w:rPr>
        <w:t>While updating the item classification sheet (for product or/and technology) please consult:</w:t>
      </w:r>
    </w:p>
    <w:p w14:paraId="14DFC665" w14:textId="77777777" w:rsidR="004C33FE" w:rsidRPr="00B26A71" w:rsidRDefault="004C33FE" w:rsidP="004C33FE">
      <w:pPr>
        <w:rPr>
          <w:rFonts w:asciiTheme="majorHAnsi" w:hAnsiTheme="majorHAnsi" w:cstheme="majorHAnsi"/>
          <w:lang w:val="en"/>
        </w:rPr>
      </w:pPr>
    </w:p>
    <w:p w14:paraId="67CABEB2" w14:textId="77777777" w:rsidR="004C33FE" w:rsidRPr="00B26A71" w:rsidRDefault="004C33FE" w:rsidP="004C33FE">
      <w:pPr>
        <w:rPr>
          <w:rFonts w:asciiTheme="majorHAnsi" w:hAnsiTheme="majorHAnsi" w:cstheme="majorHAnsi"/>
          <w:lang w:val="en"/>
        </w:rPr>
      </w:pPr>
    </w:p>
    <w:p w14:paraId="6802A0BB" w14:textId="77777777" w:rsidR="004C33FE" w:rsidRPr="00B26A71" w:rsidRDefault="004C33FE" w:rsidP="004C33FE">
      <w:pPr>
        <w:rPr>
          <w:rFonts w:asciiTheme="majorHAnsi" w:hAnsiTheme="majorHAnsi" w:cstheme="majorHAnsi"/>
          <w:b/>
          <w:lang w:val="en"/>
        </w:rPr>
      </w:pPr>
      <w:r w:rsidRPr="00B26A71">
        <w:rPr>
          <w:rFonts w:asciiTheme="majorHAnsi" w:hAnsiTheme="majorHAnsi" w:cstheme="majorHAnsi"/>
          <w:b/>
          <w:lang w:val="en"/>
        </w:rPr>
        <w:t>For dual-use items:</w:t>
      </w:r>
    </w:p>
    <w:p w14:paraId="47DD1F9E" w14:textId="77777777" w:rsidR="004C33FE" w:rsidRPr="00B26A71" w:rsidRDefault="004C33FE" w:rsidP="004C33FE">
      <w:pPr>
        <w:rPr>
          <w:rFonts w:asciiTheme="majorHAnsi" w:hAnsiTheme="majorHAnsi" w:cstheme="majorHAnsi"/>
          <w:lang w:val="en"/>
        </w:rPr>
      </w:pPr>
    </w:p>
    <w:p w14:paraId="0912C9A4" w14:textId="77777777" w:rsidR="004C33FE" w:rsidRPr="00B26A71" w:rsidRDefault="00C32D33" w:rsidP="004C33FE">
      <w:pPr>
        <w:rPr>
          <w:rFonts w:asciiTheme="majorHAnsi" w:hAnsiTheme="majorHAnsi" w:cstheme="majorHAnsi"/>
          <w:lang w:val="en"/>
        </w:rPr>
      </w:pPr>
      <w:hyperlink r:id="rId4" w:history="1">
        <w:r w:rsidR="004C33FE" w:rsidRPr="00B26A71">
          <w:rPr>
            <w:rStyle w:val="Hyperlink"/>
            <w:rFonts w:asciiTheme="majorHAnsi" w:hAnsiTheme="majorHAnsi" w:cstheme="majorHAnsi"/>
          </w:rPr>
          <w:t>COMMISSION DELEGATED REGULATION (EU) 2023/66 of 21 October 2022 amending Regulation (EU) 2021/821 of the European Parliament and of the Council as regards the list of dual-use items</w:t>
        </w:r>
      </w:hyperlink>
    </w:p>
    <w:p w14:paraId="30CE58DE" w14:textId="77777777" w:rsidR="004C33FE" w:rsidRPr="00B26A71" w:rsidRDefault="004C33FE" w:rsidP="004C33FE">
      <w:pPr>
        <w:rPr>
          <w:rFonts w:asciiTheme="majorHAnsi" w:hAnsiTheme="majorHAnsi" w:cstheme="majorHAnsi"/>
          <w:lang w:val="en"/>
        </w:rPr>
      </w:pPr>
    </w:p>
    <w:p w14:paraId="773410A4" w14:textId="77777777" w:rsidR="004C33FE" w:rsidRPr="00B26A71" w:rsidRDefault="004C33FE" w:rsidP="004C33FE">
      <w:pPr>
        <w:rPr>
          <w:rFonts w:asciiTheme="majorHAnsi" w:hAnsiTheme="majorHAnsi" w:cstheme="majorHAnsi"/>
          <w:b/>
          <w:lang w:val="en"/>
        </w:rPr>
      </w:pPr>
      <w:r w:rsidRPr="00B26A71">
        <w:rPr>
          <w:rFonts w:asciiTheme="majorHAnsi" w:hAnsiTheme="majorHAnsi" w:cstheme="majorHAnsi"/>
        </w:rPr>
        <w:br/>
      </w:r>
      <w:r w:rsidRPr="00B26A71">
        <w:rPr>
          <w:rFonts w:asciiTheme="majorHAnsi" w:hAnsiTheme="majorHAnsi" w:cstheme="majorHAnsi"/>
          <w:b/>
        </w:rPr>
        <w:t xml:space="preserve">For </w:t>
      </w:r>
      <w:proofErr w:type="spellStart"/>
      <w:r w:rsidRPr="00B26A71">
        <w:rPr>
          <w:rFonts w:asciiTheme="majorHAnsi" w:hAnsiTheme="majorHAnsi" w:cstheme="majorHAnsi"/>
          <w:b/>
        </w:rPr>
        <w:t>defence</w:t>
      </w:r>
      <w:proofErr w:type="spellEnd"/>
      <w:r w:rsidRPr="00B26A71">
        <w:rPr>
          <w:rFonts w:asciiTheme="majorHAnsi" w:hAnsiTheme="majorHAnsi" w:cstheme="majorHAnsi"/>
          <w:b/>
        </w:rPr>
        <w:t>-related products and technologies:</w:t>
      </w:r>
    </w:p>
    <w:p w14:paraId="236F552C" w14:textId="77777777" w:rsidR="004C33FE" w:rsidRPr="00B26A71" w:rsidRDefault="004C33FE" w:rsidP="004C33FE">
      <w:pPr>
        <w:rPr>
          <w:rFonts w:asciiTheme="majorHAnsi" w:hAnsiTheme="majorHAnsi" w:cstheme="majorHAnsi"/>
          <w:lang w:val="en"/>
        </w:rPr>
      </w:pPr>
    </w:p>
    <w:p w14:paraId="3F89E43A" w14:textId="0300C54E" w:rsidR="004C33FE" w:rsidRPr="00C32D33" w:rsidRDefault="00C32D33" w:rsidP="004C33FE">
      <w:pPr>
        <w:rPr>
          <w:rStyle w:val="Hyperlink"/>
        </w:rPr>
      </w:pPr>
      <w:hyperlink r:id="rId5" w:history="1">
        <w:r w:rsidRPr="00C32D33">
          <w:rPr>
            <w:rStyle w:val="Hyperlink"/>
          </w:rPr>
          <w:t>Common Military List of the European Union adopted by the Council on 19 February 2024 (equipment covered by Council Common Po</w:t>
        </w:r>
        <w:r w:rsidRPr="00C32D33">
          <w:rPr>
            <w:rStyle w:val="Hyperlink"/>
          </w:rPr>
          <w:t>s</w:t>
        </w:r>
        <w:r w:rsidRPr="00C32D33">
          <w:rPr>
            <w:rStyle w:val="Hyperlink"/>
          </w:rPr>
          <w:t>ition 2008/944/CFSP defining common rules governing the control of exports of military technology and equipment)</w:t>
        </w:r>
      </w:hyperlink>
    </w:p>
    <w:p w14:paraId="280556F8" w14:textId="77777777" w:rsidR="004C33FE" w:rsidRPr="00B26A71" w:rsidRDefault="004C33FE" w:rsidP="004C33FE">
      <w:pPr>
        <w:rPr>
          <w:rFonts w:asciiTheme="majorHAnsi" w:hAnsiTheme="majorHAnsi" w:cstheme="majorHAnsi"/>
          <w:b/>
          <w:bCs/>
          <w:color w:val="333333"/>
          <w:sz w:val="21"/>
          <w:szCs w:val="21"/>
          <w:shd w:val="clear" w:color="auto" w:fill="FFFFFF"/>
        </w:rPr>
      </w:pPr>
    </w:p>
    <w:p w14:paraId="6FE63B7D" w14:textId="77777777" w:rsidR="004C33FE" w:rsidRPr="00B26A71" w:rsidRDefault="004C33FE" w:rsidP="004C33FE">
      <w:pPr>
        <w:rPr>
          <w:rFonts w:asciiTheme="majorHAnsi" w:hAnsiTheme="majorHAnsi" w:cstheme="majorHAnsi"/>
          <w:b/>
          <w:bCs/>
          <w:color w:val="333333"/>
          <w:sz w:val="21"/>
          <w:szCs w:val="21"/>
          <w:shd w:val="clear" w:color="auto" w:fill="FFFFFF"/>
        </w:rPr>
      </w:pPr>
      <w:r w:rsidRPr="00B26A71">
        <w:rPr>
          <w:rFonts w:asciiTheme="majorHAnsi" w:hAnsiTheme="majorHAnsi" w:cstheme="majorHAnsi"/>
          <w:b/>
          <w:bCs/>
          <w:color w:val="333333"/>
          <w:sz w:val="21"/>
          <w:szCs w:val="21"/>
          <w:shd w:val="clear" w:color="auto" w:fill="FFFFFF"/>
        </w:rPr>
        <w:t xml:space="preserve">For certain goods which could be used for capital punishment, torture or other cruel, </w:t>
      </w:r>
      <w:proofErr w:type="gramStart"/>
      <w:r w:rsidRPr="00B26A71">
        <w:rPr>
          <w:rFonts w:asciiTheme="majorHAnsi" w:hAnsiTheme="majorHAnsi" w:cstheme="majorHAnsi"/>
          <w:b/>
          <w:bCs/>
          <w:color w:val="333333"/>
          <w:sz w:val="21"/>
          <w:szCs w:val="21"/>
          <w:shd w:val="clear" w:color="auto" w:fill="FFFFFF"/>
        </w:rPr>
        <w:t>inhuman</w:t>
      </w:r>
      <w:proofErr w:type="gramEnd"/>
      <w:r w:rsidRPr="00B26A71">
        <w:rPr>
          <w:rFonts w:asciiTheme="majorHAnsi" w:hAnsiTheme="majorHAnsi" w:cstheme="majorHAnsi"/>
          <w:b/>
          <w:bCs/>
          <w:color w:val="333333"/>
          <w:sz w:val="21"/>
          <w:szCs w:val="21"/>
          <w:shd w:val="clear" w:color="auto" w:fill="FFFFFF"/>
        </w:rPr>
        <w:t xml:space="preserve"> or degrading treatment or punishment</w:t>
      </w:r>
      <w:r w:rsidR="00B26A71" w:rsidRPr="00B26A71">
        <w:rPr>
          <w:rFonts w:asciiTheme="majorHAnsi" w:hAnsiTheme="majorHAnsi" w:cstheme="majorHAnsi"/>
          <w:b/>
          <w:bCs/>
          <w:color w:val="333333"/>
          <w:sz w:val="21"/>
          <w:szCs w:val="21"/>
          <w:shd w:val="clear" w:color="auto" w:fill="FFFFFF"/>
        </w:rPr>
        <w:t>:</w:t>
      </w:r>
    </w:p>
    <w:p w14:paraId="6E850A9E" w14:textId="77777777" w:rsidR="004C33FE" w:rsidRPr="00B26A71" w:rsidRDefault="004C33FE" w:rsidP="004C33FE">
      <w:pPr>
        <w:rPr>
          <w:rFonts w:asciiTheme="majorHAnsi" w:hAnsiTheme="majorHAnsi" w:cstheme="majorHAnsi"/>
          <w:b/>
          <w:bCs/>
          <w:color w:val="333333"/>
          <w:sz w:val="21"/>
          <w:szCs w:val="21"/>
          <w:shd w:val="clear" w:color="auto" w:fill="FFFFFF"/>
        </w:rPr>
      </w:pPr>
    </w:p>
    <w:p w14:paraId="00F531EF" w14:textId="77777777" w:rsidR="004C33FE" w:rsidRPr="00B26A71" w:rsidRDefault="00C32D33" w:rsidP="004C33FE">
      <w:pPr>
        <w:rPr>
          <w:rFonts w:asciiTheme="majorHAnsi" w:hAnsiTheme="majorHAnsi" w:cstheme="majorHAnsi"/>
        </w:rPr>
      </w:pPr>
      <w:hyperlink r:id="rId6" w:history="1">
        <w:r w:rsidR="004C33FE" w:rsidRPr="00B26A71">
          <w:rPr>
            <w:rStyle w:val="Hyperlink"/>
            <w:rFonts w:asciiTheme="majorHAnsi" w:hAnsiTheme="majorHAnsi" w:cstheme="majorHAnsi"/>
          </w:rPr>
          <w:t>Regulation (EU) 2019/125 of the European Parliament and of the Council of 16 January 2019 concerning trade in certain goods which could be used for capital punishment, torture or other cruel, inhuman or degrading treatment or punishment</w:t>
        </w:r>
      </w:hyperlink>
    </w:p>
    <w:p w14:paraId="59894BE7" w14:textId="77777777" w:rsidR="00760A11" w:rsidRPr="00B26A71" w:rsidRDefault="00760A11" w:rsidP="00760A11">
      <w:pPr>
        <w:rPr>
          <w:rFonts w:asciiTheme="majorHAnsi" w:hAnsiTheme="majorHAnsi" w:cstheme="majorHAnsi"/>
        </w:rPr>
      </w:pPr>
    </w:p>
    <w:p w14:paraId="0331D1F6" w14:textId="77777777" w:rsidR="004A04BB" w:rsidRPr="004C33FE" w:rsidRDefault="004A04BB"/>
    <w:sectPr w:rsidR="004A04BB" w:rsidRPr="004C33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A11"/>
    <w:rsid w:val="004A04BB"/>
    <w:rsid w:val="004C33FE"/>
    <w:rsid w:val="00760A11"/>
    <w:rsid w:val="00B26A71"/>
    <w:rsid w:val="00C32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37B9"/>
  <w15:chartTrackingRefBased/>
  <w15:docId w15:val="{5F5D9CDB-C8C8-4A9D-998A-CCAC8196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A11"/>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33FE"/>
    <w:rPr>
      <w:color w:val="0563C1" w:themeColor="hyperlink"/>
      <w:u w:val="single"/>
    </w:rPr>
  </w:style>
  <w:style w:type="character" w:styleId="FollowedHyperlink">
    <w:name w:val="FollowedHyperlink"/>
    <w:basedOn w:val="DefaultParagraphFont"/>
    <w:uiPriority w:val="99"/>
    <w:semiHidden/>
    <w:unhideWhenUsed/>
    <w:rsid w:val="00B26A71"/>
    <w:rPr>
      <w:color w:val="954F72" w:themeColor="followedHyperlink"/>
      <w:u w:val="single"/>
    </w:rPr>
  </w:style>
  <w:style w:type="character" w:styleId="UnresolvedMention">
    <w:name w:val="Unresolved Mention"/>
    <w:basedOn w:val="DefaultParagraphFont"/>
    <w:uiPriority w:val="99"/>
    <w:semiHidden/>
    <w:unhideWhenUsed/>
    <w:rsid w:val="00C32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809511">
      <w:bodyDiv w:val="1"/>
      <w:marLeft w:val="0"/>
      <w:marRight w:val="0"/>
      <w:marTop w:val="0"/>
      <w:marBottom w:val="0"/>
      <w:divBdr>
        <w:top w:val="none" w:sz="0" w:space="0" w:color="auto"/>
        <w:left w:val="none" w:sz="0" w:space="0" w:color="auto"/>
        <w:bottom w:val="none" w:sz="0" w:space="0" w:color="auto"/>
        <w:right w:val="none" w:sz="0" w:space="0" w:color="auto"/>
      </w:divBdr>
    </w:div>
    <w:div w:id="194885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lex.europa.eu/legal-content/EN/TXT/?qid=1678360549004&amp;uri=CELEX%3A02019R0125-20210101" TargetMode="External"/><Relationship Id="rId5" Type="http://schemas.openxmlformats.org/officeDocument/2006/relationships/hyperlink" Target="https://eur-lex.europa.eu/legal-content/EN/TXT/?uri=OJ%3AC_202401945" TargetMode="External"/><Relationship Id="rId4" Type="http://schemas.openxmlformats.org/officeDocument/2006/relationships/hyperlink" Target="https://eur-lex.europa.eu/legal-content/EN/TXT/?uri=uriserv%3AOJ.L_.2023.009.01.0001.01.FRA&amp;toc=OJ%3AL%3A2023%3A009%3A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Micic</dc:creator>
  <cp:keywords/>
  <dc:description/>
  <cp:lastModifiedBy>Ivana Mićić</cp:lastModifiedBy>
  <cp:revision>3</cp:revision>
  <dcterms:created xsi:type="dcterms:W3CDTF">2023-03-09T12:51:00Z</dcterms:created>
  <dcterms:modified xsi:type="dcterms:W3CDTF">2024-06-28T10:02:00Z</dcterms:modified>
</cp:coreProperties>
</file>