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A576" w14:textId="77777777" w:rsidR="00D01099" w:rsidRPr="00E04C4A" w:rsidRDefault="00D01099" w:rsidP="00D01099">
      <w:pPr>
        <w:rPr>
          <w:rFonts w:asciiTheme="majorHAnsi" w:hAnsiTheme="majorHAnsi" w:cstheme="majorHAnsi"/>
          <w:lang w:val="fr-FR"/>
        </w:rPr>
      </w:pPr>
    </w:p>
    <w:p w14:paraId="718E59EF" w14:textId="77777777" w:rsidR="004E522A" w:rsidRPr="00E04C4A" w:rsidRDefault="004E522A" w:rsidP="00D01099">
      <w:pPr>
        <w:rPr>
          <w:rFonts w:asciiTheme="majorHAnsi" w:hAnsiTheme="majorHAnsi" w:cstheme="majorHAnsi"/>
          <w:lang w:val="fr-FR"/>
        </w:rPr>
      </w:pPr>
    </w:p>
    <w:p w14:paraId="7D1D1D42" w14:textId="77777777" w:rsidR="00D01099" w:rsidRPr="00E04C4A" w:rsidRDefault="00275CB6" w:rsidP="00D01099">
      <w:pPr>
        <w:jc w:val="center"/>
        <w:rPr>
          <w:rFonts w:asciiTheme="majorHAnsi" w:hAnsiTheme="majorHAnsi" w:cstheme="majorHAnsi"/>
          <w:b/>
          <w:lang w:val="fr-FR"/>
        </w:rPr>
      </w:pPr>
      <w:r w:rsidRPr="00E04C4A">
        <w:rPr>
          <w:rFonts w:asciiTheme="majorHAnsi" w:hAnsiTheme="majorHAnsi" w:cstheme="majorHAnsi"/>
          <w:b/>
          <w:lang w:val="fr-FR"/>
        </w:rPr>
        <w:t>F</w:t>
      </w:r>
      <w:r w:rsidR="00D01099" w:rsidRPr="00E04C4A">
        <w:rPr>
          <w:rFonts w:asciiTheme="majorHAnsi" w:hAnsiTheme="majorHAnsi" w:cstheme="majorHAnsi"/>
          <w:b/>
          <w:lang w:val="fr-FR"/>
        </w:rPr>
        <w:t xml:space="preserve">iche de classification – </w:t>
      </w:r>
      <w:r w:rsidR="00D01099" w:rsidRPr="00E04C4A">
        <w:rPr>
          <w:rFonts w:asciiTheme="majorHAnsi" w:hAnsiTheme="majorHAnsi" w:cstheme="majorHAnsi"/>
          <w:b/>
          <w:u w:val="single"/>
          <w:lang w:val="fr-FR"/>
        </w:rPr>
        <w:t>une nouvelle mise à jour est en cours</w:t>
      </w:r>
    </w:p>
    <w:p w14:paraId="60F85B7E" w14:textId="77777777" w:rsidR="00D01099" w:rsidRPr="00E04C4A" w:rsidRDefault="00D01099" w:rsidP="00D01099">
      <w:pPr>
        <w:jc w:val="center"/>
        <w:rPr>
          <w:rFonts w:asciiTheme="majorHAnsi" w:hAnsiTheme="majorHAnsi" w:cstheme="majorHAnsi"/>
          <w:b/>
          <w:lang w:val="fr-FR"/>
        </w:rPr>
      </w:pPr>
    </w:p>
    <w:p w14:paraId="32DAEDFB" w14:textId="77777777" w:rsidR="00D01099" w:rsidRPr="00E04C4A" w:rsidRDefault="00D01099" w:rsidP="00D01099">
      <w:pPr>
        <w:rPr>
          <w:rFonts w:asciiTheme="majorHAnsi" w:hAnsiTheme="majorHAnsi" w:cstheme="majorHAnsi"/>
          <w:lang w:val="fr-FR"/>
        </w:rPr>
      </w:pPr>
    </w:p>
    <w:p w14:paraId="13E87DAB" w14:textId="77777777" w:rsidR="00D01099" w:rsidRPr="00E04C4A" w:rsidRDefault="00D01099" w:rsidP="00D01099">
      <w:pPr>
        <w:rPr>
          <w:rFonts w:asciiTheme="majorHAnsi" w:hAnsiTheme="majorHAnsi" w:cstheme="majorHAnsi"/>
          <w:lang w:val="fr-FR"/>
        </w:rPr>
      </w:pPr>
      <w:r w:rsidRPr="00E04C4A">
        <w:rPr>
          <w:rFonts w:asciiTheme="majorHAnsi" w:hAnsiTheme="majorHAnsi" w:cstheme="majorHAnsi"/>
          <w:lang w:val="fr-FR"/>
        </w:rPr>
        <w:t>En attendant pour la classification de votre bien (produit ou/et technologie) veuillez consulter :</w:t>
      </w:r>
    </w:p>
    <w:p w14:paraId="5929C789" w14:textId="77777777" w:rsidR="00D01099" w:rsidRPr="00E04C4A" w:rsidRDefault="00D01099" w:rsidP="00D01099">
      <w:pPr>
        <w:rPr>
          <w:rFonts w:asciiTheme="majorHAnsi" w:hAnsiTheme="majorHAnsi" w:cstheme="majorHAnsi"/>
          <w:lang w:val="fr-FR"/>
        </w:rPr>
      </w:pPr>
    </w:p>
    <w:p w14:paraId="32D8B860" w14:textId="77777777" w:rsidR="004E522A" w:rsidRPr="00E04C4A" w:rsidRDefault="004E522A" w:rsidP="00D01099">
      <w:pPr>
        <w:rPr>
          <w:rFonts w:asciiTheme="majorHAnsi" w:hAnsiTheme="majorHAnsi" w:cstheme="majorHAnsi"/>
          <w:lang w:val="fr-FR"/>
        </w:rPr>
      </w:pPr>
    </w:p>
    <w:p w14:paraId="3F25FA0A" w14:textId="77777777" w:rsidR="00D01099" w:rsidRPr="00E04C4A" w:rsidRDefault="00D01099" w:rsidP="00D01099">
      <w:pPr>
        <w:rPr>
          <w:rFonts w:asciiTheme="majorHAnsi" w:hAnsiTheme="majorHAnsi" w:cstheme="majorHAnsi"/>
          <w:b/>
          <w:lang w:val="fr-FR"/>
        </w:rPr>
      </w:pPr>
      <w:r w:rsidRPr="00E04C4A">
        <w:rPr>
          <w:rFonts w:asciiTheme="majorHAnsi" w:hAnsiTheme="majorHAnsi" w:cstheme="majorHAnsi"/>
          <w:b/>
          <w:lang w:val="fr-FR"/>
        </w:rPr>
        <w:t>Pour les biens à double usage :</w:t>
      </w:r>
    </w:p>
    <w:p w14:paraId="2EF63032" w14:textId="77777777" w:rsidR="00D01099" w:rsidRPr="00E04C4A" w:rsidRDefault="00D01099" w:rsidP="00D01099">
      <w:pPr>
        <w:rPr>
          <w:rFonts w:asciiTheme="majorHAnsi" w:hAnsiTheme="majorHAnsi" w:cstheme="majorHAnsi"/>
          <w:lang w:val="fr-FR"/>
        </w:rPr>
      </w:pPr>
    </w:p>
    <w:p w14:paraId="35A3AA7B" w14:textId="77777777" w:rsidR="00D01099" w:rsidRPr="00F84544" w:rsidRDefault="00366422" w:rsidP="00F84544">
      <w:pPr>
        <w:rPr>
          <w:rFonts w:asciiTheme="majorHAnsi" w:hAnsiTheme="majorHAnsi" w:cstheme="majorHAnsi"/>
          <w:lang w:val="fr-FR"/>
        </w:rPr>
      </w:pPr>
      <w:hyperlink r:id="rId5" w:history="1">
        <w:r w:rsidR="00D01099" w:rsidRPr="00F84544">
          <w:rPr>
            <w:rStyle w:val="Hyperlink"/>
            <w:rFonts w:asciiTheme="majorHAnsi" w:hAnsiTheme="majorHAnsi" w:cstheme="majorHAnsi"/>
            <w:lang w:val="fr-FR"/>
          </w:rPr>
          <w:t>RÈGLEMENT DÉLÉGUÉ (UE) 2023/66 DE LA COMMISSION du 21 octobre 2022 modifiant le règlement (UE) 2021/821 du Parlement européen et du Conseil en ce qui concerne la liste des biens à double usage</w:t>
        </w:r>
      </w:hyperlink>
    </w:p>
    <w:p w14:paraId="62D012FD" w14:textId="77777777" w:rsidR="00D01099" w:rsidRPr="00E04C4A" w:rsidRDefault="00D01099" w:rsidP="00D01099">
      <w:pPr>
        <w:rPr>
          <w:rFonts w:asciiTheme="majorHAnsi" w:hAnsiTheme="majorHAnsi" w:cstheme="majorHAnsi"/>
          <w:lang w:val="fr-FR"/>
        </w:rPr>
      </w:pPr>
    </w:p>
    <w:p w14:paraId="637559BC" w14:textId="77777777" w:rsidR="004E522A" w:rsidRPr="00E04C4A" w:rsidRDefault="004E522A" w:rsidP="00D01099">
      <w:pPr>
        <w:rPr>
          <w:rFonts w:asciiTheme="majorHAnsi" w:hAnsiTheme="majorHAnsi" w:cstheme="majorHAnsi"/>
          <w:lang w:val="fr-FR"/>
        </w:rPr>
      </w:pPr>
    </w:p>
    <w:p w14:paraId="28007BBB" w14:textId="77777777" w:rsidR="00D01099" w:rsidRPr="00E04C4A" w:rsidRDefault="00D01099" w:rsidP="00D01099">
      <w:pPr>
        <w:rPr>
          <w:rFonts w:asciiTheme="majorHAnsi" w:hAnsiTheme="majorHAnsi" w:cstheme="majorHAnsi"/>
          <w:b/>
          <w:lang w:val="fr-FR"/>
        </w:rPr>
      </w:pPr>
      <w:r w:rsidRPr="00E04C4A">
        <w:rPr>
          <w:rFonts w:asciiTheme="majorHAnsi" w:hAnsiTheme="majorHAnsi" w:cstheme="majorHAnsi"/>
          <w:b/>
          <w:lang w:val="fr-FR"/>
        </w:rPr>
        <w:t>Pour les produits et les technologies liés à défense :</w:t>
      </w:r>
    </w:p>
    <w:p w14:paraId="35978722" w14:textId="77777777" w:rsidR="00D01099" w:rsidRPr="00E04C4A" w:rsidRDefault="00D01099" w:rsidP="00D01099">
      <w:pPr>
        <w:rPr>
          <w:rFonts w:asciiTheme="majorHAnsi" w:hAnsiTheme="majorHAnsi" w:cstheme="majorHAnsi"/>
          <w:lang w:val="fr-FR"/>
        </w:rPr>
      </w:pPr>
    </w:p>
    <w:p w14:paraId="41E7A37D" w14:textId="5DC5D723" w:rsidR="00D01099" w:rsidRPr="007A09E2" w:rsidRDefault="007A09E2" w:rsidP="00D01099">
      <w:pPr>
        <w:rPr>
          <w:rFonts w:asciiTheme="majorHAnsi" w:hAnsiTheme="majorHAnsi" w:cstheme="majorHAnsi"/>
          <w:lang w:val="fr-FR"/>
        </w:rPr>
      </w:pPr>
      <w:hyperlink r:id="rId6" w:history="1">
        <w:r w:rsidRPr="007A09E2">
          <w:rPr>
            <w:rStyle w:val="Hyperlink"/>
            <w:lang w:val="fr-FR"/>
          </w:rPr>
          <w:t>Liste commune des équipements militaires de l'Union européenne adoptée par le Conseil le 19 février 2024 (équipements couverts par la position commune 2008/944/PESC du Conseil définissant des règles communes régissant le contrôle des exportations de technologie et d'équipements militaires)</w:t>
        </w:r>
      </w:hyperlink>
    </w:p>
    <w:p w14:paraId="6E77C0C8" w14:textId="77777777" w:rsidR="004E522A" w:rsidRPr="00E04C4A" w:rsidRDefault="004E522A" w:rsidP="00D01099">
      <w:pPr>
        <w:rPr>
          <w:rFonts w:asciiTheme="majorHAnsi" w:hAnsiTheme="majorHAnsi" w:cstheme="majorHAnsi"/>
          <w:lang w:val="fr-FR"/>
        </w:rPr>
      </w:pPr>
    </w:p>
    <w:p w14:paraId="032BB8B6" w14:textId="77777777" w:rsidR="00D01099" w:rsidRPr="00E04C4A" w:rsidRDefault="00D01099" w:rsidP="00D01099">
      <w:pPr>
        <w:rPr>
          <w:rFonts w:asciiTheme="majorHAnsi" w:hAnsiTheme="majorHAnsi" w:cstheme="majorHAnsi"/>
          <w:b/>
          <w:lang w:val="fr-FR"/>
        </w:rPr>
      </w:pPr>
      <w:r w:rsidRPr="00E04C4A">
        <w:rPr>
          <w:rFonts w:asciiTheme="majorHAnsi" w:hAnsiTheme="majorHAnsi" w:cstheme="majorHAnsi"/>
          <w:b/>
          <w:lang w:val="fr-FR"/>
        </w:rPr>
        <w:t>Pour les biens susceptibles d'être utilisés en vue d'infliger la peine capitale, la torture ou d'autres peines ou traitements cruels, inhumains ou dégradants </w:t>
      </w:r>
    </w:p>
    <w:p w14:paraId="3F59E1ED" w14:textId="77777777" w:rsidR="00D01099" w:rsidRPr="00E04C4A" w:rsidRDefault="00D01099" w:rsidP="00D01099">
      <w:pPr>
        <w:rPr>
          <w:rFonts w:asciiTheme="majorHAnsi" w:hAnsiTheme="majorHAnsi" w:cstheme="majorHAnsi"/>
          <w:lang w:val="fr-FR"/>
        </w:rPr>
      </w:pPr>
    </w:p>
    <w:p w14:paraId="763D29B2" w14:textId="77777777" w:rsidR="00D01099" w:rsidRPr="00F84544" w:rsidRDefault="00366422" w:rsidP="00F84544">
      <w:pPr>
        <w:rPr>
          <w:rFonts w:asciiTheme="majorHAnsi" w:hAnsiTheme="majorHAnsi" w:cstheme="majorHAnsi"/>
          <w:lang w:val="fr-FR"/>
        </w:rPr>
      </w:pPr>
      <w:hyperlink r:id="rId7" w:history="1">
        <w:r w:rsidR="00D01099" w:rsidRPr="00F84544">
          <w:rPr>
            <w:rStyle w:val="Hyperlink"/>
            <w:rFonts w:asciiTheme="majorHAnsi" w:hAnsiTheme="majorHAnsi" w:cstheme="majorHAnsi"/>
            <w:lang w:val="fr-FR"/>
          </w:rPr>
          <w:t>Règlement (UE) 2019/125 du Parlement européen et du Conseil du 16 janvier 2019 concernant le commerce de certains biens susceptibles d'être utilisés en vue d'infliger la peine capitale, la torture ou d'autres peines ou traitements cruels, inhumains ou dégradants </w:t>
        </w:r>
      </w:hyperlink>
    </w:p>
    <w:p w14:paraId="23759863" w14:textId="77777777" w:rsidR="004A04BB" w:rsidRDefault="004A04BB">
      <w:pPr>
        <w:rPr>
          <w:lang w:val="fr-FR"/>
        </w:rPr>
      </w:pPr>
    </w:p>
    <w:p w14:paraId="7163D837" w14:textId="77777777" w:rsidR="00275CB6" w:rsidRDefault="00275CB6">
      <w:pPr>
        <w:rPr>
          <w:lang w:val="fr-FR"/>
        </w:rPr>
      </w:pPr>
    </w:p>
    <w:p w14:paraId="1E6AB669" w14:textId="77777777" w:rsidR="00275CB6" w:rsidRPr="00D01099" w:rsidRDefault="00275CB6">
      <w:pPr>
        <w:rPr>
          <w:lang w:val="fr-FR"/>
        </w:rPr>
      </w:pPr>
    </w:p>
    <w:sectPr w:rsidR="00275CB6" w:rsidRPr="00D01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7A42"/>
    <w:multiLevelType w:val="hybridMultilevel"/>
    <w:tmpl w:val="0A687EA2"/>
    <w:lvl w:ilvl="0" w:tplc="C4CE9300">
      <w:start w:val="28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02121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99"/>
    <w:rsid w:val="00275CB6"/>
    <w:rsid w:val="003B50B8"/>
    <w:rsid w:val="004A04BB"/>
    <w:rsid w:val="004E522A"/>
    <w:rsid w:val="007A09E2"/>
    <w:rsid w:val="008152A6"/>
    <w:rsid w:val="00D01099"/>
    <w:rsid w:val="00E04C4A"/>
    <w:rsid w:val="00F84544"/>
    <w:rsid w:val="00FD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4831"/>
  <w15:chartTrackingRefBased/>
  <w15:docId w15:val="{839BA4F1-20CB-4FCF-A5F3-33B37684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99"/>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099"/>
    <w:pPr>
      <w:spacing w:after="160" w:line="252" w:lineRule="auto"/>
      <w:ind w:left="720"/>
      <w:contextualSpacing/>
    </w:pPr>
  </w:style>
  <w:style w:type="character" w:styleId="Hyperlink">
    <w:name w:val="Hyperlink"/>
    <w:basedOn w:val="DefaultParagraphFont"/>
    <w:uiPriority w:val="99"/>
    <w:unhideWhenUsed/>
    <w:rsid w:val="004E522A"/>
    <w:rPr>
      <w:color w:val="0563C1" w:themeColor="hyperlink"/>
      <w:u w:val="single"/>
    </w:rPr>
  </w:style>
  <w:style w:type="character" w:styleId="FollowedHyperlink">
    <w:name w:val="FollowedHyperlink"/>
    <w:basedOn w:val="DefaultParagraphFont"/>
    <w:uiPriority w:val="99"/>
    <w:semiHidden/>
    <w:unhideWhenUsed/>
    <w:rsid w:val="004E522A"/>
    <w:rPr>
      <w:color w:val="954F72" w:themeColor="followedHyperlink"/>
      <w:u w:val="single"/>
    </w:rPr>
  </w:style>
  <w:style w:type="character" w:styleId="UnresolvedMention">
    <w:name w:val="Unresolved Mention"/>
    <w:basedOn w:val="DefaultParagraphFont"/>
    <w:uiPriority w:val="99"/>
    <w:semiHidden/>
    <w:unhideWhenUsed/>
    <w:rsid w:val="007A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1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FR/TXT/?qid=1678360549004&amp;uri=CELEX%3A02019R0125-2021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fr/TXT/?uri=OJ:C_202401945" TargetMode="External"/><Relationship Id="rId5" Type="http://schemas.openxmlformats.org/officeDocument/2006/relationships/hyperlink" Target="https://eur-lex.europa.eu/legal-content/FR/TXT/?uri=uriserv%3AOJ.L_.2023.009.01.0001.01.FRA&amp;toc=OJ%3AL%3A2023%3A009%3AT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Micic</dc:creator>
  <cp:keywords/>
  <dc:description/>
  <cp:lastModifiedBy>Ivana Mićić</cp:lastModifiedBy>
  <cp:revision>2</cp:revision>
  <dcterms:created xsi:type="dcterms:W3CDTF">2024-06-27T10:07:00Z</dcterms:created>
  <dcterms:modified xsi:type="dcterms:W3CDTF">2024-06-27T10:07:00Z</dcterms:modified>
</cp:coreProperties>
</file>